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bookmarkStart w:colFirst="0" w:colLast="0" w:name="_heading=h.gjdgxs" w:id="0"/>
            <w:bookmarkEnd w:id="0"/>
            <w:r w:rsidDel="00000000" w:rsidR="00000000" w:rsidRPr="00000000">
              <w:rPr>
                <w:rFonts w:ascii="Lato Black" w:cs="Lato Black" w:eastAsia="Lato Black" w:hAnsi="Lato Black"/>
                <w:b w:val="1"/>
                <w:rtl w:val="0"/>
              </w:rPr>
              <w:t xml:space="preserve">Policy 401.02: Employee Conflict of Interest</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Employees' use of their position with the school district for financial gain is considered a conflict of interest with their position as employees and may subject employees to disciplinary action.</w:t>
        <w:br w:type="textWrapping"/>
        <w:br w:type="textWrapping"/>
        <w:t xml:space="preserve">Employees have access to information and a captive audience that could award the employee personal or financial gain.  No employee may solicit other employees or students for personal or financial gain to the employee without the approval of the superintendent.  If the approval of the superintendent is given, the employee must conduct the solicitations within the conditions set by the superintendent.  Further, the superintendent may, upon five days notice, require the employee to cease such solicitations as a condition of continued employment.</w:t>
        <w:br w:type="textWrapping"/>
        <w:br w:type="textWrapping"/>
        <w:t xml:space="preserve">Employees will not act as an agent or dealer for the sale of textbooks or other school supply companies doing business with the school district.  Employees will not participate for personal financial remuneration in outside activities wherein their position on the staff is used to sell goods or services to students or to parents. Employees will not engage in outside work or activities where the source of information concerning the customer, client or employer originates from information obtained because of the employee's position in the school district.</w:t>
        <w:br w:type="textWrapping"/>
        <w:br w:type="textWrapping"/>
        <w:t xml:space="preserve">It will also be a conflict of interest for an employee to engage in any outside employment or activity which is in conflict with the employee's official duties and responsibilities.  In determining whether outside employment or activity of an employee creates a conflict of interest, situations in which an unacceptable conflict of interest is deemed to exist will include, but not be limited to, any of the following: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The outside employment or activity involves the use of the school district's time, facilities, equipment and supplies or the use of the school district's badge, uniform, business card or other evidences of office to give the employee or the employee's immediate family an advantage or pecuniary benefit that is not available to other similarly situated members or classes of members of the general public.  For purposes of this section, a person is not "similarly situated" merely by being related to an employee who is employed by the school district.</w:t>
        <w:br w:type="textWrapping"/>
        <w:t xml:space="preserve"> </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The outside employment or activity involves the receipt of, promise of, or acceptance of more or other consideration by the employee or a member of the employee's immediate family from anyone other than the school district for the performance of any act that the employee would be required or expected to perform as part of the employee's regular duties or during the hours during which the employee performs service or work for the school district.</w:t>
        <w:br w:type="textWrapping"/>
        <w:t xml:space="preserve"> </w:t>
      </w:r>
    </w:p>
    <w:p w:rsidR="00000000" w:rsidDel="00000000" w:rsidP="00000000" w:rsidRDefault="00000000" w:rsidRPr="00000000" w14:paraId="0000000A">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The outside employment or activity is subject to the official control, inspection, review, audit or enforcement authority of the employee during the performance of the employee's duties.</w:t>
      </w:r>
    </w:p>
    <w:p w:rsidR="00000000" w:rsidDel="00000000" w:rsidP="00000000" w:rsidRDefault="00000000" w:rsidRPr="00000000" w14:paraId="0000000B">
      <w:pPr>
        <w:spacing w:after="0" w:lineRule="auto"/>
        <w:rPr>
          <w:rFonts w:ascii="Lato" w:cs="Lato" w:eastAsia="Lato" w:hAnsi="Lato"/>
        </w:rPr>
      </w:pPr>
      <w:r w:rsidDel="00000000" w:rsidR="00000000" w:rsidRPr="00000000">
        <w:rPr>
          <w:rFonts w:ascii="Lato" w:cs="Lato" w:eastAsia="Lato" w:hAnsi="Lato"/>
          <w:rtl w:val="0"/>
        </w:rPr>
        <w:t xml:space="preserve">If the outside employment or activity is employment or activity in (1) or (2) above, the employee must cease the employment of or activity.  If the activity or employment falls under (3), then the employee must: </w:t>
      </w:r>
    </w:p>
    <w:p w:rsidR="00000000" w:rsidDel="00000000" w:rsidP="00000000" w:rsidRDefault="00000000" w:rsidRPr="00000000" w14:paraId="0000000C">
      <w:pPr>
        <w:numPr>
          <w:ilvl w:val="0"/>
          <w:numId w:val="2"/>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Cease the outside employment or activity; or,</w:t>
      </w:r>
    </w:p>
    <w:p w:rsidR="00000000" w:rsidDel="00000000" w:rsidP="00000000" w:rsidRDefault="00000000" w:rsidRPr="00000000" w14:paraId="0000000D">
      <w:pPr>
        <w:numPr>
          <w:ilvl w:val="0"/>
          <w:numId w:val="2"/>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Publicly disclose the existence of the conflict and refrain from taking any official action or performing any official duty that would detrimentally affect or create a benefit for the outside employment or activity.  Official action or official duty includes, but is not limited to, participating in any vote, taking affirmative action to influence any vote, or providing any other official service or thing that is not available generally to members of the public in order to further the interests of the outside employment or activity.</w:t>
      </w:r>
    </w:p>
    <w:p w:rsidR="00000000" w:rsidDel="00000000" w:rsidP="00000000" w:rsidRDefault="00000000" w:rsidRPr="00000000" w14:paraId="0000000E">
      <w:pPr>
        <w:spacing w:after="0" w:lineRule="auto"/>
        <w:rPr>
          <w:rFonts w:ascii="Lato" w:cs="Lato" w:eastAsia="Lato" w:hAnsi="Lato"/>
        </w:rPr>
      </w:pPr>
      <w:r w:rsidDel="00000000" w:rsidR="00000000" w:rsidRPr="00000000">
        <w:rPr>
          <w:rFonts w:ascii="Lato" w:cs="Lato" w:eastAsia="Lato" w:hAnsi="Lato"/>
          <w:rtl w:val="0"/>
        </w:rPr>
        <w:t xml:space="preserve">When procurement is supported by Federal Child Nutrition funds, employees will not participate in the selection, award, or administration of a contract if there is a real or apparent conflict of interest in the contract.  Contract, for purposes of this paragraph, includes a contract where the employee, employee’s immediate family, partner, or a non-school district employer of these individuals is a party to the contract. </w:t>
        <w:br w:type="textWrapping"/>
        <w:br w:type="textWrapping"/>
        <w:t xml:space="preserve">It is the responsibility of each employee to be aware of and take the necessary action to eliminate a potential conflict of interest should it arise.</w:t>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F">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10">
            <w:pPr>
              <w:rPr>
                <w:rFonts w:ascii="Lato" w:cs="Lato" w:eastAsia="Lato" w:hAnsi="Lato"/>
              </w:rPr>
            </w:pPr>
            <w:r w:rsidDel="00000000" w:rsidR="00000000" w:rsidRPr="00000000">
              <w:rPr>
                <w:rFonts w:ascii="Lato" w:cs="Lato" w:eastAsia="Lato" w:hAnsi="Lato"/>
                <w:rtl w:val="0"/>
              </w:rPr>
              <w:t xml:space="preserve">7 C.F.R. 3016.36(3).</w:t>
              <w:br w:type="textWrapping"/>
              <w:t xml:space="preserve">Iowa Code §§ 20.7; 68B; 279.8; 301.28.</w:t>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Iowa Code  § 20.7</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7">
              <w:r w:rsidDel="00000000" w:rsidR="00000000" w:rsidRPr="00000000">
                <w:rPr>
                  <w:rFonts w:ascii="Lato" w:cs="Lato" w:eastAsia="Lato" w:hAnsi="Lato"/>
                  <w:color w:val="0563c1"/>
                  <w:u w:val="single"/>
                  <w:rtl w:val="0"/>
                </w:rPr>
                <w:t xml:space="preserve">Collective Bargaining - Public Employer Rights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8">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Iowa Code  § 301.28</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9">
              <w:r w:rsidDel="00000000" w:rsidR="00000000" w:rsidRPr="00000000">
                <w:rPr>
                  <w:rFonts w:ascii="Lato" w:cs="Lato" w:eastAsia="Lato" w:hAnsi="Lato"/>
                  <w:color w:val="0563c1"/>
                  <w:u w:val="single"/>
                  <w:rtl w:val="0"/>
                </w:rPr>
                <w:t xml:space="preserve">Textbooks - Officers and Teachers as Agents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Iowa Code  § 68B</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0">
              <w:r w:rsidDel="00000000" w:rsidR="00000000" w:rsidRPr="00000000">
                <w:rPr>
                  <w:rFonts w:ascii="Lato" w:cs="Lato" w:eastAsia="Lato" w:hAnsi="Lato"/>
                  <w:color w:val="0563c1"/>
                  <w:u w:val="single"/>
                  <w:rtl w:val="0"/>
                </w:rPr>
                <w:t xml:space="preserve">Government Ethics and Lobbying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Black" w:cs="Lato Black" w:eastAsia="Lato Black" w:hAnsi="Lato Black"/>
                <w:b w:val="1"/>
                <w:rtl w:val="0"/>
              </w:rPr>
              <w:t xml:space="preserve">C.F.R. - Code of Federal Regulations</w:t>
            </w:r>
            <w:r w:rsidDel="00000000" w:rsidR="00000000" w:rsidRPr="00000000">
              <w:rPr>
                <w:rtl w:val="0"/>
              </w:rPr>
            </w:r>
          </w:p>
        </w:tc>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7 C.F.R. 3016.36</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1">
              <w:r w:rsidDel="00000000" w:rsidR="00000000" w:rsidRPr="00000000">
                <w:rPr>
                  <w:rFonts w:ascii="Lato" w:cs="Lato" w:eastAsia="Lato" w:hAnsi="Lato"/>
                  <w:color w:val="0563c1"/>
                  <w:u w:val="single"/>
                  <w:rtl w:val="0"/>
                </w:rPr>
                <w:t xml:space="preserve">Procurement</w:t>
              </w:r>
            </w:hyperlink>
            <w:r w:rsidDel="00000000" w:rsidR="00000000" w:rsidRPr="00000000">
              <w:rPr>
                <w:rtl w:val="0"/>
              </w:rPr>
            </w:r>
          </w:p>
        </w:tc>
      </w:tr>
    </w:tbl>
    <w:p w:rsidR="00000000" w:rsidDel="00000000" w:rsidP="00000000" w:rsidRDefault="00000000" w:rsidRPr="00000000" w14:paraId="00000021">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2">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4">
            <w:pPr>
              <w:spacing w:after="0" w:lineRule="auto"/>
              <w:rPr/>
            </w:pPr>
            <w:r w:rsidDel="00000000" w:rsidR="00000000" w:rsidRPr="00000000">
              <w:rPr>
                <w:rFonts w:ascii="Lato" w:cs="Lato" w:eastAsia="Lato" w:hAnsi="Lato"/>
                <w:rtl w:val="0"/>
              </w:rPr>
              <w:t xml:space="preserve">203</w:t>
            </w:r>
            <w:r w:rsidDel="00000000" w:rsidR="00000000" w:rsidRPr="00000000">
              <w:rPr>
                <w:rtl w:val="0"/>
              </w:rPr>
            </w:r>
          </w:p>
        </w:tc>
        <w:tc>
          <w:tcPr>
            <w:tcMar>
              <w:top w:w="0.0" w:type="dxa"/>
              <w:bottom w:w="0.0" w:type="dxa"/>
            </w:tcMar>
          </w:tcPr>
          <w:p w:rsidR="00000000" w:rsidDel="00000000" w:rsidP="00000000" w:rsidRDefault="00000000" w:rsidRPr="00000000" w14:paraId="00000025">
            <w:pPr>
              <w:rPr/>
            </w:pPr>
            <w:hyperlink r:id="rId12">
              <w:r w:rsidDel="00000000" w:rsidR="00000000" w:rsidRPr="00000000">
                <w:rPr>
                  <w:rFonts w:ascii="Lato" w:cs="Lato" w:eastAsia="Lato" w:hAnsi="Lato"/>
                  <w:color w:val="0563c1"/>
                  <w:u w:val="single"/>
                  <w:rtl w:val="0"/>
                </w:rPr>
                <w:t xml:space="preserve">Board of Directors' Conflict of Interest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6">
            <w:pPr>
              <w:spacing w:after="0" w:lineRule="auto"/>
              <w:rPr/>
            </w:pPr>
            <w:r w:rsidDel="00000000" w:rsidR="00000000" w:rsidRPr="00000000">
              <w:rPr>
                <w:rFonts w:ascii="Lato" w:cs="Lato" w:eastAsia="Lato" w:hAnsi="Lato"/>
                <w:rtl w:val="0"/>
              </w:rPr>
              <w:t xml:space="preserve">402.04</w:t>
            </w:r>
            <w:r w:rsidDel="00000000" w:rsidR="00000000" w:rsidRPr="00000000">
              <w:rPr>
                <w:rtl w:val="0"/>
              </w:rPr>
            </w:r>
          </w:p>
        </w:tc>
        <w:tc>
          <w:tcPr>
            <w:tcMar>
              <w:top w:w="0.0" w:type="dxa"/>
              <w:bottom w:w="0.0" w:type="dxa"/>
            </w:tcMar>
          </w:tcPr>
          <w:p w:rsidR="00000000" w:rsidDel="00000000" w:rsidP="00000000" w:rsidRDefault="00000000" w:rsidRPr="00000000" w14:paraId="00000027">
            <w:pPr>
              <w:rPr/>
            </w:pPr>
            <w:hyperlink r:id="rId13">
              <w:r w:rsidDel="00000000" w:rsidR="00000000" w:rsidRPr="00000000">
                <w:rPr>
                  <w:rFonts w:ascii="Lato" w:cs="Lato" w:eastAsia="Lato" w:hAnsi="Lato"/>
                  <w:color w:val="0563c1"/>
                  <w:u w:val="single"/>
                  <w:rtl w:val="0"/>
                </w:rPr>
                <w:t xml:space="preserve">Gifts to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8">
            <w:pPr>
              <w:spacing w:after="0" w:lineRule="auto"/>
              <w:rPr/>
            </w:pPr>
            <w:r w:rsidDel="00000000" w:rsidR="00000000" w:rsidRPr="00000000">
              <w:rPr>
                <w:rFonts w:ascii="Lato" w:cs="Lato" w:eastAsia="Lato" w:hAnsi="Lato"/>
                <w:rtl w:val="0"/>
              </w:rPr>
              <w:t xml:space="preserve">402.06</w:t>
            </w:r>
            <w:r w:rsidDel="00000000" w:rsidR="00000000" w:rsidRPr="00000000">
              <w:rPr>
                <w:rtl w:val="0"/>
              </w:rPr>
            </w:r>
          </w:p>
        </w:tc>
        <w:tc>
          <w:tcPr>
            <w:tcMar>
              <w:top w:w="0.0" w:type="dxa"/>
              <w:bottom w:w="0.0" w:type="dxa"/>
            </w:tcMar>
          </w:tcPr>
          <w:p w:rsidR="00000000" w:rsidDel="00000000" w:rsidP="00000000" w:rsidRDefault="00000000" w:rsidRPr="00000000" w14:paraId="00000029">
            <w:pPr>
              <w:rPr/>
            </w:pPr>
            <w:hyperlink r:id="rId14">
              <w:r w:rsidDel="00000000" w:rsidR="00000000" w:rsidRPr="00000000">
                <w:rPr>
                  <w:rFonts w:ascii="Lato" w:cs="Lato" w:eastAsia="Lato" w:hAnsi="Lato"/>
                  <w:color w:val="0563c1"/>
                  <w:u w:val="single"/>
                  <w:rtl w:val="0"/>
                </w:rPr>
                <w:t xml:space="preserve">Employee Outside Employment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A">
            <w:pPr>
              <w:spacing w:after="0" w:lineRule="auto"/>
              <w:rPr/>
            </w:pPr>
            <w:r w:rsidDel="00000000" w:rsidR="00000000" w:rsidRPr="00000000">
              <w:rPr>
                <w:rFonts w:ascii="Lato" w:cs="Lato" w:eastAsia="Lato" w:hAnsi="Lato"/>
                <w:rtl w:val="0"/>
              </w:rPr>
              <w:t xml:space="preserve">404</w:t>
            </w:r>
            <w:r w:rsidDel="00000000" w:rsidR="00000000" w:rsidRPr="00000000">
              <w:rPr>
                <w:rtl w:val="0"/>
              </w:rPr>
            </w:r>
          </w:p>
        </w:tc>
        <w:tc>
          <w:tcPr>
            <w:tcMar>
              <w:top w:w="0.0" w:type="dxa"/>
              <w:bottom w:w="0.0" w:type="dxa"/>
            </w:tcMar>
          </w:tcPr>
          <w:p w:rsidR="00000000" w:rsidDel="00000000" w:rsidP="00000000" w:rsidRDefault="00000000" w:rsidRPr="00000000" w14:paraId="0000002B">
            <w:pPr>
              <w:rPr/>
            </w:pPr>
            <w:hyperlink r:id="rId15">
              <w:r w:rsidDel="00000000" w:rsidR="00000000" w:rsidRPr="00000000">
                <w:rPr>
                  <w:rFonts w:ascii="Lato" w:cs="Lato" w:eastAsia="Lato" w:hAnsi="Lato"/>
                  <w:color w:val="0563c1"/>
                  <w:u w:val="single"/>
                  <w:rtl w:val="0"/>
                </w:rPr>
                <w:t xml:space="preserve">Employee Conduct and Appearance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C">
            <w:pPr>
              <w:spacing w:after="0" w:lineRule="auto"/>
              <w:rPr/>
            </w:pPr>
            <w:r w:rsidDel="00000000" w:rsidR="00000000" w:rsidRPr="00000000">
              <w:rPr>
                <w:rFonts w:ascii="Lato" w:cs="Lato" w:eastAsia="Lato" w:hAnsi="Lato"/>
                <w:rtl w:val="0"/>
              </w:rPr>
              <w:t xml:space="preserve">404-R(1)</w:t>
            </w:r>
            <w:r w:rsidDel="00000000" w:rsidR="00000000" w:rsidRPr="00000000">
              <w:rPr>
                <w:rtl w:val="0"/>
              </w:rPr>
            </w:r>
          </w:p>
        </w:tc>
        <w:tc>
          <w:tcPr>
            <w:tcMar>
              <w:top w:w="0.0" w:type="dxa"/>
              <w:bottom w:w="0.0" w:type="dxa"/>
            </w:tcMar>
          </w:tcPr>
          <w:p w:rsidR="00000000" w:rsidDel="00000000" w:rsidP="00000000" w:rsidRDefault="00000000" w:rsidRPr="00000000" w14:paraId="0000002D">
            <w:pPr>
              <w:rPr/>
            </w:pPr>
            <w:hyperlink r:id="rId16">
              <w:r w:rsidDel="00000000" w:rsidR="00000000" w:rsidRPr="00000000">
                <w:rPr>
                  <w:rFonts w:ascii="Lato" w:cs="Lato" w:eastAsia="Lato" w:hAnsi="Lato"/>
                  <w:color w:val="0563c1"/>
                  <w:u w:val="single"/>
                  <w:rtl w:val="0"/>
                </w:rPr>
                <w:t xml:space="preserve">Employee Conduct and Appearance - Code of Professional Conduct and Ethics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E">
            <w:pPr>
              <w:spacing w:after="0" w:lineRule="auto"/>
              <w:rPr/>
            </w:pPr>
            <w:r w:rsidDel="00000000" w:rsidR="00000000" w:rsidRPr="00000000">
              <w:rPr>
                <w:rFonts w:ascii="Lato" w:cs="Lato" w:eastAsia="Lato" w:hAnsi="Lato"/>
                <w:rtl w:val="0"/>
              </w:rPr>
              <w:t xml:space="preserve">404-R(2)</w:t>
            </w:r>
            <w:r w:rsidDel="00000000" w:rsidR="00000000" w:rsidRPr="00000000">
              <w:rPr>
                <w:rtl w:val="0"/>
              </w:rPr>
            </w:r>
          </w:p>
        </w:tc>
        <w:tc>
          <w:tcPr>
            <w:tcMar>
              <w:top w:w="0.0" w:type="dxa"/>
              <w:bottom w:w="0.0" w:type="dxa"/>
            </w:tcMar>
          </w:tcPr>
          <w:p w:rsidR="00000000" w:rsidDel="00000000" w:rsidP="00000000" w:rsidRDefault="00000000" w:rsidRPr="00000000" w14:paraId="0000002F">
            <w:pPr>
              <w:rPr/>
            </w:pPr>
            <w:hyperlink r:id="rId17">
              <w:r w:rsidDel="00000000" w:rsidR="00000000" w:rsidRPr="00000000">
                <w:rPr>
                  <w:rFonts w:ascii="Lato" w:cs="Lato" w:eastAsia="Lato" w:hAnsi="Lato"/>
                  <w:color w:val="0563c1"/>
                  <w:u w:val="single"/>
                  <w:rtl w:val="0"/>
                </w:rPr>
                <w:t xml:space="preserve">Employee Conduct and Appearance - Code of Rights and Responsibilities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0">
            <w:pPr>
              <w:spacing w:after="0" w:lineRule="auto"/>
              <w:rPr/>
            </w:pPr>
            <w:r w:rsidDel="00000000" w:rsidR="00000000" w:rsidRPr="00000000">
              <w:rPr>
                <w:rFonts w:ascii="Lato" w:cs="Lato" w:eastAsia="Lato" w:hAnsi="Lato"/>
                <w:rtl w:val="0"/>
              </w:rPr>
              <w:t xml:space="preserve">408.02</w:t>
            </w:r>
            <w:r w:rsidDel="00000000" w:rsidR="00000000" w:rsidRPr="00000000">
              <w:rPr>
                <w:rtl w:val="0"/>
              </w:rPr>
            </w:r>
          </w:p>
        </w:tc>
        <w:tc>
          <w:tcPr>
            <w:tcMar>
              <w:top w:w="0.0" w:type="dxa"/>
              <w:bottom w:w="0.0" w:type="dxa"/>
            </w:tcMar>
          </w:tcPr>
          <w:p w:rsidR="00000000" w:rsidDel="00000000" w:rsidP="00000000" w:rsidRDefault="00000000" w:rsidRPr="00000000" w14:paraId="00000031">
            <w:pPr>
              <w:rPr/>
            </w:pPr>
            <w:hyperlink r:id="rId18">
              <w:r w:rsidDel="00000000" w:rsidR="00000000" w:rsidRPr="00000000">
                <w:rPr>
                  <w:rFonts w:ascii="Lato" w:cs="Lato" w:eastAsia="Lato" w:hAnsi="Lato"/>
                  <w:color w:val="0563c1"/>
                  <w:u w:val="single"/>
                  <w:rtl w:val="0"/>
                </w:rPr>
                <w:t xml:space="preserve">Licensed Employee Publication or Creation of Materials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2">
            <w:pPr>
              <w:spacing w:after="0" w:lineRule="auto"/>
              <w:rPr/>
            </w:pPr>
            <w:r w:rsidDel="00000000" w:rsidR="00000000" w:rsidRPr="00000000">
              <w:rPr>
                <w:rFonts w:ascii="Lato" w:cs="Lato" w:eastAsia="Lato" w:hAnsi="Lato"/>
                <w:rtl w:val="0"/>
              </w:rPr>
              <w:t xml:space="preserve">408.03</w:t>
            </w:r>
            <w:r w:rsidDel="00000000" w:rsidR="00000000" w:rsidRPr="00000000">
              <w:rPr>
                <w:rtl w:val="0"/>
              </w:rPr>
            </w:r>
          </w:p>
        </w:tc>
        <w:tc>
          <w:tcPr>
            <w:tcMar>
              <w:top w:w="0.0" w:type="dxa"/>
              <w:bottom w:w="0.0" w:type="dxa"/>
            </w:tcMar>
          </w:tcPr>
          <w:p w:rsidR="00000000" w:rsidDel="00000000" w:rsidP="00000000" w:rsidRDefault="00000000" w:rsidRPr="00000000" w14:paraId="00000033">
            <w:pPr>
              <w:rPr/>
            </w:pPr>
            <w:hyperlink r:id="rId19">
              <w:r w:rsidDel="00000000" w:rsidR="00000000" w:rsidRPr="00000000">
                <w:rPr>
                  <w:rFonts w:ascii="Lato" w:cs="Lato" w:eastAsia="Lato" w:hAnsi="Lato"/>
                  <w:color w:val="0563c1"/>
                  <w:u w:val="single"/>
                  <w:rtl w:val="0"/>
                </w:rPr>
                <w:t xml:space="preserve">Licensed Employee Tutoring</w:t>
              </w:r>
            </w:hyperlink>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info.gov/app/details/CFR-2012-title7-vol15/CFR-2012-title7-vol15-sec3016-36?msclkid=a6ad96dcbfe711ecac4ddad7ac5e55db" TargetMode="External"/><Relationship Id="rId10" Type="http://schemas.openxmlformats.org/officeDocument/2006/relationships/hyperlink" Target="https://www.legis.iowa.gov/docs/code/68B.pdf" TargetMode="External"/><Relationship Id="rId13" Type="http://schemas.openxmlformats.org/officeDocument/2006/relationships/hyperlink" Target="https://simbli.eboardsolutions.com/Policy/ViewPolicy.aspx?S=36031104&amp;revid=7pluszzN3QxCHzr0zbrrG6AGw==" TargetMode="External"/><Relationship Id="rId12" Type="http://schemas.openxmlformats.org/officeDocument/2006/relationships/hyperlink" Target="https://simbli.eboardsolutions.com/Policy/ViewPolicy.aspx?S=36031104&amp;revid=NpIfJXCNcZEL2dbu7lbYC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301.28.pdf" TargetMode="External"/><Relationship Id="rId15" Type="http://schemas.openxmlformats.org/officeDocument/2006/relationships/hyperlink" Target="https://simbli.eboardsolutions.com/Policy/ViewPolicy.aspx?S=36031104&amp;revid=tHSbWzMDkTpvVHlIUAl5KQ==" TargetMode="External"/><Relationship Id="rId14" Type="http://schemas.openxmlformats.org/officeDocument/2006/relationships/hyperlink" Target="https://simbli.eboardsolutions.com/Policy/ViewPolicy.aspx?S=36031104&amp;revid=arY8Pfs6ddEslshOG1XpEEJtA==" TargetMode="External"/><Relationship Id="rId17" Type="http://schemas.openxmlformats.org/officeDocument/2006/relationships/hyperlink" Target="https://simbli.eboardsolutions.com/Policy/ViewPolicy.aspx?S=36031104&amp;revid=sswtR2ITm2oZ2jw2WQJiQA==" TargetMode="External"/><Relationship Id="rId16" Type="http://schemas.openxmlformats.org/officeDocument/2006/relationships/hyperlink" Target="https://simbli.eboardsolutions.com/Policy/ViewPolicy.aspx?S=36031104&amp;revid=3bYidVdrEaCplusZzQhhXplus2sg==" TargetMode="External"/><Relationship Id="rId5" Type="http://schemas.openxmlformats.org/officeDocument/2006/relationships/styles" Target="styles.xml"/><Relationship Id="rId19" Type="http://schemas.openxmlformats.org/officeDocument/2006/relationships/hyperlink" Target="https://simbli.eboardsolutions.com/Policy/ViewPolicy.aspx?S=36031104&amp;revid=slshdgyHwGx0LyDs8Ow47K5Cg==" TargetMode="External"/><Relationship Id="rId6" Type="http://schemas.openxmlformats.org/officeDocument/2006/relationships/customXml" Target="../customXML/item1.xml"/><Relationship Id="rId18" Type="http://schemas.openxmlformats.org/officeDocument/2006/relationships/hyperlink" Target="https://simbli.eboardsolutions.com/Policy/ViewPolicy.aspx?S=36031104&amp;revid=aiMKC0wlC2eTMogaBMcI9g==" TargetMode="External"/><Relationship Id="rId7" Type="http://schemas.openxmlformats.org/officeDocument/2006/relationships/hyperlink" Target="https://www.legis.iowa.gov/docs/code/20.7.pdf" TargetMode="External"/><Relationship Id="rId8" Type="http://schemas.openxmlformats.org/officeDocument/2006/relationships/hyperlink" Target="https://www.legis.iowa.gov/docs/code/279.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YVCQI74YLfNscwobnE5M0zbhCQ==">CgMxLjAyCGguZ2pkZ3hzOAByITE2VGFudkpscWkyMjRwYWpZbTk2cndKSlhHeE40S2U2QQ==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